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83" w:rsidRDefault="00131D4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BMV-70</w:t>
      </w:r>
      <w:r w:rsidR="00C96AE1">
        <w:rPr>
          <w:rStyle w:val="Strong"/>
          <w:rFonts w:ascii="Verdana" w:hAnsi="Verdana"/>
          <w:color w:val="676767"/>
          <w:sz w:val="17"/>
          <w:szCs w:val="17"/>
          <w:lang w:val="en-US"/>
        </w:rPr>
        <w:t>0</w:t>
      </w:r>
      <w:r w:rsidR="002A3E8A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series change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log</w:t>
      </w:r>
    </w:p>
    <w:p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B62A62" w:rsidRPr="005C61B5" w:rsidRDefault="00B62A62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C61B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:rsidR="00B62A62" w:rsidRDefault="00B62A62" w:rsidP="00B62A62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using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This program is available for download on </w:t>
      </w:r>
      <w:hyperlink r:id="rId6" w:history="1">
        <w:r w:rsidRPr="004E4E72">
          <w:rPr>
            <w:rStyle w:val="Hyperlink"/>
            <w:rFonts w:ascii="Verdana" w:hAnsi="Verdana"/>
            <w:sz w:val="17"/>
            <w:szCs w:val="17"/>
            <w:lang w:val="en-US"/>
          </w:rPr>
          <w:t>https://www.victronenergy.com/software/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Special hardware is required. Use either the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VE.Direct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 USB interface (part number </w:t>
      </w:r>
      <w:r w:rsidRPr="00F3271C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ASS030530000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), or the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VE.Direct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Bluetooth Smart dongle (</w:t>
      </w:r>
      <w:r w:rsidRPr="00DC6FA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ASS030536010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) is required.</w:t>
      </w:r>
    </w:p>
    <w:p w:rsidR="00131D45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532B37" w:rsidRPr="00532B37" w:rsidRDefault="00532B37" w:rsidP="003F4A83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32B37">
        <w:rPr>
          <w:rStyle w:val="Strong"/>
          <w:rFonts w:ascii="Verdana" w:hAnsi="Verdana"/>
          <w:color w:val="676767"/>
          <w:sz w:val="17"/>
          <w:szCs w:val="17"/>
          <w:lang w:val="en-US"/>
        </w:rPr>
        <w:t>What version do I have?</w:t>
      </w:r>
    </w:p>
    <w:p w:rsidR="003F4A83" w:rsidRPr="003F4A83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Firmware version is visible in the setup menu, item 61.</w:t>
      </w:r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And also visible in </w:t>
      </w:r>
      <w:proofErr w:type="spellStart"/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:rsidR="003F4A83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B02E85" w:rsidRDefault="00B02E8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Changelog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</w:p>
    <w:p w:rsidR="006D195B" w:rsidRPr="0022139B" w:rsidRDefault="006D195B" w:rsidP="006D195B">
      <w:pPr>
        <w:shd w:val="clear" w:color="auto" w:fill="FFFFFF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V3.11</w:t>
      </w:r>
      <w:r w:rsidR="00686CB3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 xml:space="preserve"> </w:t>
      </w:r>
      <w:r w:rsidRPr="00603A10">
        <w:rPr>
          <w:rFonts w:ascii="Verdana" w:hAnsi="Verdana"/>
          <w:b/>
          <w:sz w:val="16"/>
          <w:szCs w:val="16"/>
          <w:lang w:val="en-US"/>
        </w:rPr>
        <w:t xml:space="preserve">– </w:t>
      </w:r>
      <w:r w:rsidRPr="0022139B">
        <w:rPr>
          <w:rFonts w:ascii="Verdana" w:hAnsi="Verdana"/>
          <w:b/>
          <w:bCs/>
          <w:color w:val="676767"/>
          <w:sz w:val="16"/>
          <w:szCs w:val="16"/>
          <w:lang w:val="en-US"/>
        </w:rPr>
        <w:t>2 February 2021</w:t>
      </w:r>
    </w:p>
    <w:p w:rsidR="006D195B" w:rsidRPr="00DF3A78" w:rsidRDefault="006D195B" w:rsidP="006D195B">
      <w:pPr>
        <w:pStyle w:val="ListParagraph"/>
        <w:numPr>
          <w:ilvl w:val="0"/>
          <w:numId w:val="13"/>
        </w:numPr>
        <w:shd w:val="clear" w:color="auto" w:fill="FFFFFF"/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</w:pP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Fix</w:t>
      </w:r>
      <w: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ed</w:t>
      </w: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 wrong relay activation due to using </w:t>
      </w:r>
      <w:proofErr w:type="spellStart"/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uninitialised</w:t>
      </w:r>
      <w:proofErr w:type="spellEnd"/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 voltage measurement at startup.</w:t>
      </w:r>
    </w:p>
    <w:p w:rsidR="006D195B" w:rsidRPr="00DF3A78" w:rsidRDefault="006D195B" w:rsidP="006D195B">
      <w:pPr>
        <w:pStyle w:val="ListParagraph"/>
        <w:numPr>
          <w:ilvl w:val="0"/>
          <w:numId w:val="13"/>
        </w:numPr>
        <w:shd w:val="clear" w:color="auto" w:fill="FFFFFF"/>
        <w:ind w:left="714" w:hanging="357"/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</w:pP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Fix</w:t>
      </w:r>
      <w: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ed returning wrong invalid value for </w:t>
      </w: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VE_REG_DC_CHANNEL2_VOLTAGE when auxiliary input is not set to starter/aux</w:t>
      </w:r>
      <w: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 (</w:t>
      </w: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will return 0x7FFF</w:t>
      </w:r>
      <w: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 now </w:t>
      </w: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instead of 0xFFFF</w:t>
      </w:r>
      <w: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)</w:t>
      </w: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.</w:t>
      </w:r>
    </w:p>
    <w:p w:rsidR="006D195B" w:rsidRDefault="006D195B" w:rsidP="006D195B">
      <w:pPr>
        <w:pStyle w:val="ListParagraph"/>
        <w:numPr>
          <w:ilvl w:val="0"/>
          <w:numId w:val="13"/>
        </w:numPr>
        <w:ind w:left="714" w:hanging="357"/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</w:pPr>
      <w:r w:rsidRPr="0022139B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Changed minimum accepted temperature for alarm/relay to -40 </w:t>
      </w:r>
      <w:proofErr w:type="spellStart"/>
      <w:r w:rsidRPr="0022139B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Celcius</w:t>
      </w:r>
      <w:proofErr w:type="spellEnd"/>
      <w:r w:rsidRPr="0022139B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 (was -99 </w:t>
      </w:r>
      <w:proofErr w:type="spellStart"/>
      <w:r w:rsidRPr="0022139B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Celcius</w:t>
      </w:r>
      <w:proofErr w:type="spellEnd"/>
      <w:r w:rsidRPr="0022139B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).</w:t>
      </w:r>
    </w:p>
    <w:p w:rsidR="006D195B" w:rsidRPr="00603A10" w:rsidRDefault="006D195B" w:rsidP="006D195B">
      <w:pPr>
        <w:pStyle w:val="ListParagraph"/>
        <w:numPr>
          <w:ilvl w:val="0"/>
          <w:numId w:val="13"/>
        </w:numPr>
        <w:shd w:val="clear" w:color="auto" w:fill="FFFFFF"/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</w:pP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Added "None" option to auxiliary input configuration. The "None" option is the default configuration. Settings 22-31, 39-48, 58-60, 67-68 are disabled in the setti</w:t>
      </w:r>
      <w: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ngs menu (display) when the </w:t>
      </w:r>
      <w:r w:rsidRPr="00DF3A78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aux input is configured to "None".</w:t>
      </w:r>
    </w:p>
    <w:p w:rsidR="006D195B" w:rsidRDefault="006D195B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CB0F22" w:rsidRDefault="00CB0F22" w:rsidP="00CB0F22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v3.10</w:t>
      </w:r>
      <w:bookmarkStart w:id="0" w:name="_GoBack"/>
      <w:bookmarkEnd w:id="0"/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23 November 2018</w:t>
      </w:r>
    </w:p>
    <w:p w:rsidR="005A1D2E" w:rsidRDefault="00CB0F22" w:rsidP="005A1D2E">
      <w:pPr>
        <w:pStyle w:val="ListParagraph"/>
        <w:numPr>
          <w:ilvl w:val="0"/>
          <w:numId w:val="13"/>
        </w:numP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Fixed the</w:t>
      </w:r>
      <w:r w:rsidRPr="00EA617B">
        <w:rPr>
          <w:lang w:val="en-GB"/>
        </w:rPr>
        <w:t xml:space="preserve"> </w:t>
      </w:r>
      <w:r w:rsidRPr="00CB0F22">
        <w:rPr>
          <w:rFonts w:ascii="Verdana" w:hAnsi="Verdana"/>
          <w:bCs/>
          <w:color w:val="676767"/>
          <w:sz w:val="16"/>
          <w:szCs w:val="16"/>
          <w:lang w:val="en-US"/>
        </w:rPr>
        <w:t>problem that was introduced in the v3.09 release, where the settings were reset to their defaults upon an update from v3.08 (or earlier) to v3.09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</w:p>
    <w:p w:rsidR="005A1D2E" w:rsidRDefault="005A1D2E" w:rsidP="005A1D2E">
      <w:pP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:rsidR="00C118DF" w:rsidRDefault="005A1D2E" w:rsidP="005A1D2E">
      <w:pPr>
        <w:rPr>
          <w:rFonts w:ascii="Verdana" w:eastAsia="Times New Roman" w:hAnsi="Verdana"/>
          <w:b/>
          <w:bCs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sz w:val="16"/>
          <w:szCs w:val="16"/>
          <w:lang w:val="en-US"/>
        </w:rPr>
        <w:t xml:space="preserve">Important: when updating from v3.09 to v3.10, the settings will be reset to their defaults </w:t>
      </w:r>
      <w:r w:rsidR="00C118DF">
        <w:rPr>
          <w:rFonts w:ascii="Verdana" w:eastAsia="Times New Roman" w:hAnsi="Verdana"/>
          <w:b/>
          <w:bCs/>
          <w:sz w:val="16"/>
          <w:szCs w:val="16"/>
          <w:lang w:val="en-US"/>
        </w:rPr>
        <w:t xml:space="preserve">once </w:t>
      </w:r>
    </w:p>
    <w:p w:rsidR="005A1D2E" w:rsidRPr="005A1D2E" w:rsidRDefault="00C118DF" w:rsidP="005A1D2E">
      <w:pPr>
        <w:rPr>
          <w:rFonts w:ascii="Verdana" w:eastAsia="Times New Roman" w:hAnsi="Verdana"/>
          <w:b/>
          <w:bCs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sz w:val="16"/>
          <w:szCs w:val="16"/>
          <w:lang w:val="en-US"/>
        </w:rPr>
        <w:tab/>
        <w:t xml:space="preserve">      </w:t>
      </w:r>
      <w:proofErr w:type="gramStart"/>
      <w:r>
        <w:rPr>
          <w:rFonts w:ascii="Verdana" w:eastAsia="Times New Roman" w:hAnsi="Verdana"/>
          <w:b/>
          <w:bCs/>
          <w:sz w:val="16"/>
          <w:szCs w:val="16"/>
          <w:lang w:val="en-US"/>
        </w:rPr>
        <w:t>more</w:t>
      </w:r>
      <w:proofErr w:type="gramEnd"/>
      <w:r w:rsidR="005A1D2E">
        <w:rPr>
          <w:rFonts w:ascii="Verdana" w:eastAsia="Times New Roman" w:hAnsi="Verdana"/>
          <w:b/>
          <w:bCs/>
          <w:sz w:val="16"/>
          <w:szCs w:val="16"/>
          <w:lang w:val="en-US"/>
        </w:rPr>
        <w:t xml:space="preserve">, due to the </w:t>
      </w:r>
      <w:r w:rsidR="00994189">
        <w:rPr>
          <w:rFonts w:ascii="Verdana" w:eastAsia="Times New Roman" w:hAnsi="Verdana"/>
          <w:b/>
          <w:bCs/>
          <w:sz w:val="16"/>
          <w:szCs w:val="16"/>
          <w:lang w:val="en-US"/>
        </w:rPr>
        <w:t xml:space="preserve">bug </w:t>
      </w:r>
      <w:r w:rsidR="00C94C4F">
        <w:rPr>
          <w:rFonts w:ascii="Verdana" w:eastAsia="Times New Roman" w:hAnsi="Verdana"/>
          <w:b/>
          <w:bCs/>
          <w:sz w:val="16"/>
          <w:szCs w:val="16"/>
          <w:lang w:val="en-US"/>
        </w:rPr>
        <w:t xml:space="preserve">introduced by </w:t>
      </w:r>
      <w:r w:rsidR="005A1D2E">
        <w:rPr>
          <w:rFonts w:ascii="Verdana" w:eastAsia="Times New Roman" w:hAnsi="Verdana"/>
          <w:b/>
          <w:bCs/>
          <w:sz w:val="16"/>
          <w:szCs w:val="16"/>
          <w:lang w:val="en-US"/>
        </w:rPr>
        <w:t>the v3.09 firmware</w:t>
      </w:r>
      <w:r w:rsidR="00D65539">
        <w:rPr>
          <w:rFonts w:ascii="Verdana" w:eastAsia="Times New Roman" w:hAnsi="Verdana"/>
          <w:b/>
          <w:bCs/>
          <w:sz w:val="16"/>
          <w:szCs w:val="16"/>
          <w:lang w:val="en-US"/>
        </w:rPr>
        <w:t>.</w:t>
      </w:r>
    </w:p>
    <w:p w:rsidR="00CB0F22" w:rsidRDefault="00CB0F22" w:rsidP="00CB0F22">
      <w:pP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:rsidR="00EA617B" w:rsidRPr="00CB0F22" w:rsidRDefault="00EA617B" w:rsidP="00CB0F22">
      <w:pP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:rsidR="004D484B" w:rsidRDefault="004D484B" w:rsidP="004D484B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v3.09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31 </w:t>
      </w:r>
      <w:r w:rsidR="00B7351C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October 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2018</w:t>
      </w:r>
      <w:r w:rsidR="008E51AF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cancelled due to bug!</w:t>
      </w:r>
    </w:p>
    <w:p w:rsidR="004D484B" w:rsidRPr="002A3E8A" w:rsidRDefault="004D484B" w:rsidP="002A3E8A">
      <w:pPr>
        <w:pStyle w:val="ListParagraph"/>
        <w:numPr>
          <w:ilvl w:val="0"/>
          <w:numId w:val="13"/>
        </w:numPr>
        <w:ind w:left="714" w:hanging="357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Added option for powering up in an unsynchronized state</w:t>
      </w:r>
      <w:r w:rsidR="003C1DCE">
        <w:rPr>
          <w:rFonts w:ascii="Verdana" w:hAnsi="Verdana"/>
          <w:bCs/>
          <w:color w:val="676767"/>
          <w:sz w:val="16"/>
          <w:szCs w:val="16"/>
          <w:lang w:val="en-US"/>
        </w:rPr>
        <w:t xml:space="preserve"> through s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etting #70 START SYNCHRONIZED</w:t>
      </w:r>
      <w:r w:rsidR="003C1DCE">
        <w:rPr>
          <w:rFonts w:ascii="Verdana" w:hAnsi="Verdana"/>
          <w:bCs/>
          <w:color w:val="676767"/>
          <w:sz w:val="16"/>
          <w:szCs w:val="16"/>
          <w:lang w:val="en-US"/>
        </w:rPr>
        <w:t xml:space="preserve"> (ON/OFF), ON by default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. When </w:t>
      </w:r>
      <w:r w:rsidR="003C1DCE">
        <w:rPr>
          <w:rFonts w:ascii="Verdana" w:hAnsi="Verdana"/>
          <w:bCs/>
          <w:color w:val="676767"/>
          <w:sz w:val="16"/>
          <w:szCs w:val="16"/>
          <w:lang w:val="en-US"/>
        </w:rPr>
        <w:t xml:space="preserve">set to OFF, the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state-of-charge, time-to-go, and consumed energy</w:t>
      </w:r>
      <w:r w:rsidR="003C1DCE">
        <w:rPr>
          <w:rFonts w:ascii="Verdana" w:hAnsi="Verdana"/>
          <w:bCs/>
          <w:color w:val="676767"/>
          <w:sz w:val="16"/>
          <w:szCs w:val="16"/>
          <w:lang w:val="en-US"/>
        </w:rPr>
        <w:t xml:space="preserve"> are unknown until the first actual synchronization. Relay and alarm conditions based on these unknown parameters are disabled.</w:t>
      </w:r>
      <w:r w:rsidR="002A3E8A">
        <w:rPr>
          <w:rFonts w:ascii="Verdana" w:hAnsi="Verdana"/>
          <w:bCs/>
          <w:color w:val="676767"/>
          <w:sz w:val="16"/>
          <w:szCs w:val="16"/>
          <w:lang w:val="en-US"/>
        </w:rPr>
        <w:t xml:space="preserve"> The display’s CHARGE and (empty) battery indicator segments will blink.</w:t>
      </w:r>
    </w:p>
    <w:p w:rsidR="004D484B" w:rsidRDefault="004D484B" w:rsidP="007D109C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4D484B">
        <w:rPr>
          <w:rFonts w:ascii="Verdana" w:hAnsi="Verdana"/>
          <w:bCs/>
          <w:color w:val="676767"/>
          <w:sz w:val="16"/>
          <w:szCs w:val="16"/>
          <w:lang w:val="en-US"/>
        </w:rPr>
        <w:t>Battery indicator now scales between the configured discharge floor and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Pr="004D484B">
        <w:rPr>
          <w:rFonts w:ascii="Verdana" w:hAnsi="Verdana"/>
          <w:bCs/>
          <w:color w:val="676767"/>
          <w:sz w:val="16"/>
          <w:szCs w:val="16"/>
          <w:lang w:val="en-US"/>
        </w:rPr>
        <w:t>100% state-of-charge, instead of the full state-of-charge range (0% - 100%).</w:t>
      </w:r>
      <w:r w:rsidR="00EA617B">
        <w:rPr>
          <w:rFonts w:ascii="Verdana" w:hAnsi="Verdana"/>
          <w:bCs/>
          <w:color w:val="676767"/>
          <w:sz w:val="16"/>
          <w:szCs w:val="16"/>
          <w:lang w:val="en-US"/>
        </w:rPr>
        <w:t xml:space="preserve"> Note that the State of Charge itself still scales between 0% and 100%; nothing has changed there.</w:t>
      </w:r>
    </w:p>
    <w:p w:rsidR="009B19DE" w:rsidRDefault="00A86C89" w:rsidP="009A2139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9B19DE">
        <w:rPr>
          <w:rFonts w:ascii="Verdana" w:hAnsi="Verdana"/>
          <w:bCs/>
          <w:color w:val="676767"/>
          <w:sz w:val="16"/>
          <w:szCs w:val="16"/>
          <w:lang w:val="en-US"/>
        </w:rPr>
        <w:t xml:space="preserve">Fixed an </w:t>
      </w:r>
      <w:r w:rsidR="009B19DE" w:rsidRPr="009B19DE">
        <w:rPr>
          <w:rFonts w:ascii="Verdana" w:hAnsi="Verdana"/>
          <w:bCs/>
          <w:color w:val="676767"/>
          <w:sz w:val="16"/>
          <w:szCs w:val="16"/>
          <w:lang w:val="en-US"/>
        </w:rPr>
        <w:t xml:space="preserve">issue related to </w:t>
      </w:r>
      <w:r w:rsidR="004D484B" w:rsidRPr="009B19DE">
        <w:rPr>
          <w:rFonts w:ascii="Verdana" w:hAnsi="Verdana"/>
          <w:bCs/>
          <w:color w:val="676767"/>
          <w:sz w:val="16"/>
          <w:szCs w:val="16"/>
          <w:lang w:val="en-US"/>
        </w:rPr>
        <w:t>changing the backlight intensity wh</w:t>
      </w:r>
      <w:r w:rsidR="009B19DE">
        <w:rPr>
          <w:rFonts w:ascii="Verdana" w:hAnsi="Verdana"/>
          <w:bCs/>
          <w:color w:val="676767"/>
          <w:sz w:val="16"/>
          <w:szCs w:val="16"/>
          <w:lang w:val="en-US"/>
        </w:rPr>
        <w:t xml:space="preserve">ile connected to </w:t>
      </w:r>
      <w:proofErr w:type="spellStart"/>
      <w:r w:rsidR="009B19DE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="009B19DE"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</w:p>
    <w:p w:rsidR="009B19DE" w:rsidRDefault="009B19DE" w:rsidP="009A2139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9B19DE">
        <w:rPr>
          <w:rFonts w:ascii="Verdana" w:hAnsi="Verdana"/>
          <w:bCs/>
          <w:color w:val="676767"/>
          <w:sz w:val="16"/>
          <w:szCs w:val="16"/>
          <w:lang w:val="en-US"/>
        </w:rPr>
        <w:t>Internal changes that do not change the functional behavior</w:t>
      </w:r>
    </w:p>
    <w:p w:rsidR="00EA617B" w:rsidRDefault="00EA617B" w:rsidP="00EA617B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EA617B" w:rsidRPr="00EA617B" w:rsidRDefault="00EA617B" w:rsidP="00EA617B">
      <w:p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This picture shows the ‘Battery Indicator’: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br/>
      </w:r>
      <w:r>
        <w:rPr>
          <w:rFonts w:ascii="Verdana" w:hAnsi="Verdana"/>
          <w:bCs/>
          <w:color w:val="676767"/>
          <w:sz w:val="16"/>
          <w:szCs w:val="16"/>
          <w:lang w:val="en-US"/>
        </w:rPr>
        <w:br/>
      </w:r>
      <w:r w:rsidRPr="00F02D73">
        <w:rPr>
          <w:rFonts w:ascii="Verdana" w:hAnsi="Verdana"/>
          <w:bCs/>
          <w:noProof/>
          <w:color w:val="676767"/>
          <w:sz w:val="16"/>
          <w:szCs w:val="16"/>
          <w:lang w:val="en-US" w:eastAsia="en-US"/>
        </w:rPr>
        <w:drawing>
          <wp:inline distT="0" distB="0" distL="0" distR="0" wp14:anchorId="2FB3AB2B" wp14:editId="1ABA6B83">
            <wp:extent cx="2238498" cy="2238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1821" cy="22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1AF" w:rsidRDefault="008E51AF" w:rsidP="008E51AF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8E51AF" w:rsidRDefault="008E51AF" w:rsidP="008E51AF">
      <w:p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Known issues:</w:t>
      </w:r>
    </w:p>
    <w:p w:rsidR="008E51AF" w:rsidRDefault="008E51AF" w:rsidP="008E51AF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When updating from v3.08 to v3.09, all settings will be reset to default.</w:t>
      </w:r>
      <w:r w:rsidR="003460CC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="00EA617B">
        <w:rPr>
          <w:rFonts w:ascii="Verdana" w:hAnsi="Verdana"/>
          <w:bCs/>
          <w:color w:val="676767"/>
          <w:sz w:val="16"/>
          <w:szCs w:val="16"/>
          <w:lang w:val="en-US"/>
        </w:rPr>
        <w:t>This issue was fixed in v3.10.</w:t>
      </w:r>
    </w:p>
    <w:p w:rsidR="00EA617B" w:rsidRPr="00EA617B" w:rsidRDefault="00EA617B" w:rsidP="00EA617B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4D484B" w:rsidRDefault="004D484B" w:rsidP="00B62A62">
      <w:pP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:rsidR="00B62A62" w:rsidRDefault="00B62A62" w:rsidP="00B62A62">
      <w:pP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v3.08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13 July 2016</w:t>
      </w:r>
    </w:p>
    <w:p w:rsidR="00B62A62" w:rsidRDefault="00B62A62" w:rsidP="00B62A62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B62A62">
        <w:rPr>
          <w:rFonts w:ascii="Verdana" w:hAnsi="Verdana"/>
          <w:bCs/>
          <w:color w:val="676767"/>
          <w:sz w:val="16"/>
          <w:szCs w:val="16"/>
          <w:lang w:val="en-US"/>
        </w:rPr>
        <w:t xml:space="preserve">Fixed some </w:t>
      </w:r>
      <w:proofErr w:type="spellStart"/>
      <w:r w:rsidRPr="00B62A62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Pr="00B62A62">
        <w:rPr>
          <w:rFonts w:ascii="Verdana" w:hAnsi="Verdana"/>
          <w:bCs/>
          <w:color w:val="676767"/>
          <w:sz w:val="16"/>
          <w:szCs w:val="16"/>
          <w:lang w:val="en-US"/>
        </w:rPr>
        <w:t xml:space="preserve"> related issues: the mid-point voltage related alarms and relay settings were not shown due to incorrect format</w:t>
      </w:r>
    </w:p>
    <w:p w:rsidR="00B62A62" w:rsidRDefault="00B62A62" w:rsidP="00B62A62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B62A62">
        <w:rPr>
          <w:rFonts w:ascii="Verdana" w:hAnsi="Verdana"/>
          <w:bCs/>
          <w:color w:val="676767"/>
          <w:sz w:val="16"/>
          <w:szCs w:val="16"/>
          <w:lang w:val="en-US"/>
        </w:rPr>
        <w:t>Fixed issue with Charged/Discharged Energy &amp; Cumulative Ah (aka Total Ah Drawn) counters: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 t</w:t>
      </w:r>
      <w:r w:rsidRPr="00B62A62">
        <w:rPr>
          <w:rFonts w:ascii="Verdana" w:hAnsi="Verdana"/>
          <w:bCs/>
          <w:color w:val="676767"/>
          <w:sz w:val="16"/>
          <w:szCs w:val="16"/>
          <w:lang w:val="en-US"/>
        </w:rPr>
        <w:t>he counters could get stuck at a certain value and become 'insensitive' for (small) changes</w:t>
      </w:r>
    </w:p>
    <w:p w:rsidR="00B62A62" w:rsidRPr="00B62A62" w:rsidRDefault="00B62A62" w:rsidP="00B62A62">
      <w:pPr>
        <w:pStyle w:val="ListParagraph"/>
        <w:numPr>
          <w:ilvl w:val="0"/>
          <w:numId w:val="13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lastRenderedPageBreak/>
        <w:t>More internal changes</w:t>
      </w:r>
    </w:p>
    <w:p w:rsidR="00B62A62" w:rsidRPr="00B62A62" w:rsidRDefault="00B62A62" w:rsidP="00B62A62">
      <w:pPr>
        <w:rPr>
          <w:lang w:val="en-US"/>
        </w:rPr>
      </w:pPr>
    </w:p>
    <w:p w:rsidR="00FD1446" w:rsidRDefault="00FD1446" w:rsidP="00FD1446">
      <w:pP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v3.07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7 November 2014</w:t>
      </w:r>
    </w:p>
    <w:p w:rsidR="00FD1446" w:rsidRPr="00FD1446" w:rsidRDefault="00FD1446" w:rsidP="00FD1446">
      <w:pPr>
        <w:pStyle w:val="ListParagraph"/>
        <w:numPr>
          <w:ilvl w:val="0"/>
          <w:numId w:val="10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FD1446">
        <w:rPr>
          <w:rFonts w:ascii="Verdana" w:hAnsi="Verdana"/>
          <w:bCs/>
          <w:color w:val="676767"/>
          <w:sz w:val="16"/>
          <w:szCs w:val="16"/>
          <w:lang w:val="en-US"/>
        </w:rPr>
        <w:t>Alarm/relay: added 5 minute delay to mid-point voltage deviation condition to prevent alarms due to short term deviations</w:t>
      </w:r>
    </w:p>
    <w:p w:rsidR="00FD1446" w:rsidRDefault="00FD1446" w:rsidP="00FD1446">
      <w:pP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FD1446" w:rsidRDefault="00FD1446" w:rsidP="00FD1446"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v3.06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28 October 2014</w:t>
      </w:r>
    </w:p>
    <w:p w:rsidR="00FD1446" w:rsidRPr="00FD1446" w:rsidRDefault="00FD1446" w:rsidP="00FD1446">
      <w:pPr>
        <w:pStyle w:val="ListParagraph"/>
        <w:numPr>
          <w:ilvl w:val="0"/>
          <w:numId w:val="10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FD1446">
        <w:rPr>
          <w:rFonts w:ascii="Verdana" w:hAnsi="Verdana"/>
          <w:bCs/>
          <w:color w:val="676767"/>
          <w:sz w:val="16"/>
          <w:szCs w:val="16"/>
          <w:lang w:val="en-US"/>
        </w:rPr>
        <w:t xml:space="preserve">Removed the un-synchronized state, so at power-up the </w:t>
      </w:r>
      <w:proofErr w:type="spellStart"/>
      <w:r w:rsidRPr="00FD1446">
        <w:rPr>
          <w:rFonts w:ascii="Verdana" w:hAnsi="Verdana"/>
          <w:bCs/>
          <w:color w:val="676767"/>
          <w:sz w:val="16"/>
          <w:szCs w:val="16"/>
          <w:lang w:val="en-US"/>
        </w:rPr>
        <w:t>SoC</w:t>
      </w:r>
      <w:proofErr w:type="spellEnd"/>
      <w:r w:rsidRPr="00FD1446">
        <w:rPr>
          <w:rFonts w:ascii="Verdana" w:hAnsi="Verdana"/>
          <w:bCs/>
          <w:color w:val="676767"/>
          <w:sz w:val="16"/>
          <w:szCs w:val="16"/>
          <w:lang w:val="en-US"/>
        </w:rPr>
        <w:t xml:space="preserve"> is 100%</w:t>
      </w:r>
    </w:p>
    <w:p w:rsidR="00FD1446" w:rsidRPr="00FD1446" w:rsidRDefault="00FD1446" w:rsidP="00FD1446">
      <w:pPr>
        <w:pStyle w:val="ListParagraph"/>
        <w:numPr>
          <w:ilvl w:val="0"/>
          <w:numId w:val="10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FD1446">
        <w:rPr>
          <w:rFonts w:ascii="Verdana" w:hAnsi="Verdana"/>
          <w:bCs/>
          <w:color w:val="676767"/>
          <w:sz w:val="16"/>
          <w:szCs w:val="16"/>
          <w:lang w:val="en-US"/>
        </w:rPr>
        <w:t>Shunt voltage setting max value changed from 100mV to 75mv, due to restrictions of the current ADC configuration</w:t>
      </w:r>
    </w:p>
    <w:p w:rsidR="00FD1446" w:rsidRDefault="00FD1446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F927A6" w:rsidRPr="00FD1446" w:rsidRDefault="00F927A6" w:rsidP="00F927A6">
      <w:pPr>
        <w:rPr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v3.05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3-march-2014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  <w:br/>
      </w:r>
      <w:r w:rsidRPr="00FD1446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Changes for automated production testing.</w:t>
      </w:r>
    </w:p>
    <w:p w:rsidR="00F927A6" w:rsidRDefault="00F927A6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EB396B" w:rsidRPr="00FD1446" w:rsidRDefault="00F927A6" w:rsidP="00131D45">
      <w:pPr>
        <w:rPr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</w:t>
      </w:r>
      <w:r w:rsidR="00131D45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3.04</w:t>
      </w:r>
      <w:r w:rsidR="00131D45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7-jan-2014</w:t>
      </w:r>
      <w:r w:rsidR="00186579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  <w:br/>
      </w:r>
      <w:proofErr w:type="gramStart"/>
      <w:r w:rsidR="00186579" w:rsidRPr="00FD1446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First</w:t>
      </w:r>
      <w:proofErr w:type="gramEnd"/>
      <w:r w:rsidR="00186579" w:rsidRPr="00FD1446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 xml:space="preserve"> approved version for mass productio</w:t>
      </w:r>
      <w:r w:rsidR="00131D45" w:rsidRPr="00FD1446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n.</w:t>
      </w:r>
    </w:p>
    <w:sectPr w:rsidR="00EB396B" w:rsidRPr="00FD1446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55"/>
    <w:rsid w:val="00030455"/>
    <w:rsid w:val="000502B4"/>
    <w:rsid w:val="00066B32"/>
    <w:rsid w:val="000B2D49"/>
    <w:rsid w:val="000C469C"/>
    <w:rsid w:val="000E11C3"/>
    <w:rsid w:val="00131D45"/>
    <w:rsid w:val="00186579"/>
    <w:rsid w:val="001A2A33"/>
    <w:rsid w:val="001D6824"/>
    <w:rsid w:val="002A3E8A"/>
    <w:rsid w:val="002D1E57"/>
    <w:rsid w:val="002F1390"/>
    <w:rsid w:val="003460CC"/>
    <w:rsid w:val="00395316"/>
    <w:rsid w:val="003C1DCE"/>
    <w:rsid w:val="003D1A2E"/>
    <w:rsid w:val="003F4A83"/>
    <w:rsid w:val="004273F1"/>
    <w:rsid w:val="004919AC"/>
    <w:rsid w:val="004C6AEC"/>
    <w:rsid w:val="004D484B"/>
    <w:rsid w:val="00513035"/>
    <w:rsid w:val="00530A7D"/>
    <w:rsid w:val="00532B37"/>
    <w:rsid w:val="00534D58"/>
    <w:rsid w:val="005675BD"/>
    <w:rsid w:val="00582068"/>
    <w:rsid w:val="005868CE"/>
    <w:rsid w:val="005A1D2E"/>
    <w:rsid w:val="00677BE6"/>
    <w:rsid w:val="006858CA"/>
    <w:rsid w:val="00686CB3"/>
    <w:rsid w:val="006D195B"/>
    <w:rsid w:val="0070115F"/>
    <w:rsid w:val="00747E12"/>
    <w:rsid w:val="007533F2"/>
    <w:rsid w:val="00806A82"/>
    <w:rsid w:val="00855FA3"/>
    <w:rsid w:val="008A4ED5"/>
    <w:rsid w:val="008B4C89"/>
    <w:rsid w:val="008E51AF"/>
    <w:rsid w:val="00976AF2"/>
    <w:rsid w:val="00994189"/>
    <w:rsid w:val="009B19DE"/>
    <w:rsid w:val="009E5C4D"/>
    <w:rsid w:val="009F545A"/>
    <w:rsid w:val="00A3797C"/>
    <w:rsid w:val="00A44BEE"/>
    <w:rsid w:val="00A86C89"/>
    <w:rsid w:val="00AA743B"/>
    <w:rsid w:val="00AC23E1"/>
    <w:rsid w:val="00B02E85"/>
    <w:rsid w:val="00B460B6"/>
    <w:rsid w:val="00B62A62"/>
    <w:rsid w:val="00B70B5F"/>
    <w:rsid w:val="00B7351C"/>
    <w:rsid w:val="00BF416D"/>
    <w:rsid w:val="00C118DF"/>
    <w:rsid w:val="00C23528"/>
    <w:rsid w:val="00C94C4F"/>
    <w:rsid w:val="00C951F3"/>
    <w:rsid w:val="00C95481"/>
    <w:rsid w:val="00C96AE1"/>
    <w:rsid w:val="00CB0F22"/>
    <w:rsid w:val="00D11814"/>
    <w:rsid w:val="00D15B20"/>
    <w:rsid w:val="00D65539"/>
    <w:rsid w:val="00DB35C0"/>
    <w:rsid w:val="00EA617B"/>
    <w:rsid w:val="00EB396B"/>
    <w:rsid w:val="00EE5B25"/>
    <w:rsid w:val="00F02D73"/>
    <w:rsid w:val="00F05E4D"/>
    <w:rsid w:val="00F927A6"/>
    <w:rsid w:val="00F95870"/>
    <w:rsid w:val="00FA670C"/>
    <w:rsid w:val="00FB1313"/>
    <w:rsid w:val="00FD1446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70AF46-0E0F-4EA6-A34C-33143295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oftwa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B11C-334C-4511-AADD-3BD1C57D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Martijn Kuiken</cp:lastModifiedBy>
  <cp:revision>10</cp:revision>
  <dcterms:created xsi:type="dcterms:W3CDTF">2018-12-05T07:56:00Z</dcterms:created>
  <dcterms:modified xsi:type="dcterms:W3CDTF">2021-02-02T13:45:00Z</dcterms:modified>
</cp:coreProperties>
</file>